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</w:t>
      </w:r>
    </w:p>
    <w:p>
      <w:pPr>
        <w:widowControl/>
        <w:spacing w:before="100" w:beforeAutospacing="1" w:after="100" w:afterAutospacing="1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国家重大水利工程建设基金征收标准</w:t>
      </w:r>
    </w:p>
    <w:p>
      <w:pPr>
        <w:widowControl/>
        <w:spacing w:before="100" w:beforeAutospacing="1" w:after="100" w:afterAutospacing="1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单位：厘/千瓦时</w:t>
      </w:r>
    </w:p>
    <w:tbl>
      <w:tblPr>
        <w:tblStyle w:val="3"/>
        <w:tblW w:w="51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省（区、市）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征收标准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北京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天津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上海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河北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山西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内蒙古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辽宁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吉林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黑龙江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江苏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4.1934375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4.03875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安徽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3.63375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江西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1.5525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山东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河南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3.189375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湖北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湖南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1.0546875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广西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海南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重庆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四川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1.96875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贵州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云南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陕西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甘肃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青海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宁夏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新疆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1.125</w:t>
            </w:r>
          </w:p>
        </w:tc>
      </w:tr>
    </w:tbl>
    <w:p>
      <w:pPr>
        <w:widowControl/>
        <w:spacing w:before="100" w:beforeAutospacing="1" w:after="100" w:afterAutospacing="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7758A"/>
    <w:rsid w:val="60A7758A"/>
    <w:rsid w:val="6552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2023-04-14T08:19:00Z</dcterms:created>
  <dc:creator>钟名俍</dc:creator>
  <cp:lastModifiedBy>Administrator</cp:lastModifiedBy>
  <dcterms:modified xsi:type="dcterms:W3CDTF">2026-07-01T02:20:37Z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